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8572E9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84EAD" w:rsidRPr="00484EAD">
        <w:rPr>
          <w:rFonts w:ascii="Arial" w:eastAsiaTheme="minorEastAsia" w:hAnsi="Arial" w:cs="Arial"/>
          <w:b/>
          <w:sz w:val="24"/>
          <w:szCs w:val="24"/>
          <w:lang w:eastAsia="zh-CN"/>
        </w:rPr>
        <w:t>10</w:t>
      </w:r>
      <w:r w:rsidR="00F23682">
        <w:rPr>
          <w:rFonts w:ascii="Arial" w:eastAsiaTheme="minorEastAsia" w:hAnsi="Arial" w:cs="Arial"/>
          <w:b/>
          <w:sz w:val="24"/>
          <w:szCs w:val="24"/>
          <w:lang w:eastAsia="zh-CN"/>
        </w:rPr>
        <w:t>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3C52D0" w:rsidRPr="003C52D0">
        <w:rPr>
          <w:rFonts w:ascii="Arial" w:eastAsiaTheme="minorEastAsia" w:hAnsi="Arial" w:cs="Arial"/>
          <w:b/>
          <w:sz w:val="24"/>
          <w:szCs w:val="24"/>
          <w:lang w:eastAsia="zh-CN"/>
        </w:rPr>
        <w:t>R4-2303206</w:t>
      </w:r>
    </w:p>
    <w:p w14:paraId="0E0F466F" w14:textId="51AEDF71" w:rsidR="00615EBB" w:rsidRDefault="00F23682" w:rsidP="001E0A28">
      <w:pPr>
        <w:spacing w:after="120"/>
        <w:ind w:left="1985" w:hanging="1985"/>
        <w:rPr>
          <w:rFonts w:ascii="Arial" w:eastAsiaTheme="minorEastAsia" w:hAnsi="Arial" w:cs="Arial"/>
          <w:b/>
          <w:sz w:val="24"/>
          <w:szCs w:val="24"/>
          <w:lang w:eastAsia="zh-CN"/>
        </w:rPr>
      </w:pPr>
      <w:r w:rsidRPr="00F23682">
        <w:rPr>
          <w:rFonts w:ascii="Arial" w:hAnsi="Arial"/>
          <w:b/>
          <w:sz w:val="24"/>
          <w:szCs w:val="24"/>
          <w:lang w:eastAsia="zh-CN"/>
        </w:rPr>
        <w:t>Athens, Greece, February 27 – March 3, 2022</w:t>
      </w:r>
    </w:p>
    <w:p w14:paraId="282755FA" w14:textId="7DB2654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C52D0">
        <w:rPr>
          <w:rFonts w:ascii="Arial" w:eastAsiaTheme="minorEastAsia" w:hAnsi="Arial" w:cs="Arial"/>
          <w:color w:val="000000"/>
          <w:sz w:val="22"/>
          <w:lang w:eastAsia="zh-CN"/>
        </w:rPr>
        <w:t>5</w:t>
      </w:r>
      <w:r w:rsidR="00232040">
        <w:rPr>
          <w:rFonts w:ascii="Arial" w:eastAsiaTheme="minorEastAsia" w:hAnsi="Arial" w:cs="Arial"/>
          <w:color w:val="000000"/>
          <w:sz w:val="22"/>
          <w:lang w:eastAsia="zh-CN"/>
        </w:rPr>
        <w:t>.</w:t>
      </w:r>
      <w:r w:rsidR="00F23682">
        <w:rPr>
          <w:rFonts w:ascii="Arial" w:eastAsiaTheme="minorEastAsia" w:hAnsi="Arial" w:cs="Arial"/>
          <w:color w:val="000000"/>
          <w:sz w:val="22"/>
          <w:lang w:eastAsia="zh-CN"/>
        </w:rPr>
        <w:t>4</w:t>
      </w:r>
    </w:p>
    <w:p w14:paraId="50D5329D" w14:textId="42C3603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F5E06" w:rsidRPr="00937D4B">
        <w:rPr>
          <w:rFonts w:ascii="Arial" w:hAnsi="Arial" w:cs="Arial"/>
          <w:color w:val="000000"/>
          <w:sz w:val="22"/>
          <w:lang w:eastAsia="zh-CN"/>
        </w:rPr>
        <w:t xml:space="preserve">Huawei, </w:t>
      </w:r>
      <w:proofErr w:type="spellStart"/>
      <w:r w:rsidR="00CF5E06" w:rsidRPr="00937D4B">
        <w:rPr>
          <w:rFonts w:ascii="Arial" w:hAnsi="Arial" w:cs="Arial"/>
          <w:color w:val="000000"/>
          <w:sz w:val="22"/>
          <w:lang w:eastAsia="zh-CN"/>
        </w:rPr>
        <w:t>HiSilicon</w:t>
      </w:r>
      <w:proofErr w:type="spellEnd"/>
      <w:r w:rsidR="00D834A6">
        <w:rPr>
          <w:rFonts w:ascii="Arial" w:hAnsi="Arial" w:cs="Arial"/>
          <w:color w:val="000000"/>
          <w:sz w:val="22"/>
          <w:lang w:eastAsia="zh-CN"/>
        </w:rPr>
        <w:t>, ZTE</w:t>
      </w:r>
    </w:p>
    <w:p w14:paraId="1E0389E7" w14:textId="2DE427DE" w:rsidR="00915D73" w:rsidRPr="0070222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52D0" w:rsidRPr="003C52D0">
        <w:rPr>
          <w:rFonts w:ascii="Arial" w:eastAsiaTheme="minorEastAsia" w:hAnsi="Arial" w:cs="Arial"/>
          <w:color w:val="000000"/>
          <w:sz w:val="22"/>
          <w:lang w:eastAsia="zh-CN"/>
        </w:rPr>
        <w:t>WF on R17 NR MG enhancements RRM maintenance</w:t>
      </w:r>
    </w:p>
    <w:p w14:paraId="67B0962B" w14:textId="7FA556F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F5E06">
        <w:rPr>
          <w:rFonts w:ascii="Arial" w:eastAsiaTheme="minorEastAsia" w:hAnsi="Arial" w:cs="Arial"/>
          <w:color w:val="000000"/>
          <w:sz w:val="22"/>
          <w:lang w:eastAsia="zh-CN"/>
        </w:rPr>
        <w:t>Approval</w:t>
      </w:r>
    </w:p>
    <w:p w14:paraId="7CBD56D7" w14:textId="337897CD" w:rsidR="00CF5E06" w:rsidRDefault="00CF5E06" w:rsidP="00CF5E06">
      <w:pPr>
        <w:pStyle w:val="1"/>
        <w:numPr>
          <w:ilvl w:val="0"/>
          <w:numId w:val="0"/>
        </w:numPr>
        <w:ind w:left="432" w:hanging="432"/>
        <w:rPr>
          <w:sz w:val="28"/>
          <w:szCs w:val="28"/>
        </w:rPr>
      </w:pPr>
      <w:r w:rsidRPr="002D2EE7">
        <w:rPr>
          <w:sz w:val="28"/>
          <w:szCs w:val="28"/>
        </w:rPr>
        <w:t>Topic #1:</w:t>
      </w:r>
      <w:r w:rsidR="00D54F3A">
        <w:rPr>
          <w:sz w:val="28"/>
          <w:szCs w:val="28"/>
        </w:rPr>
        <w:t xml:space="preserve"> </w:t>
      </w:r>
      <w:r w:rsidR="003C52D0">
        <w:rPr>
          <w:rFonts w:hint="eastAsia"/>
          <w:sz w:val="28"/>
          <w:szCs w:val="28"/>
          <w:lang w:eastAsia="zh-CN"/>
        </w:rPr>
        <w:t>NCSG</w:t>
      </w:r>
    </w:p>
    <w:p w14:paraId="2B18E144" w14:textId="34C0AC32" w:rsidR="003C52D0" w:rsidRPr="003C52D0" w:rsidRDefault="003C52D0" w:rsidP="003C52D0">
      <w:pPr>
        <w:rPr>
          <w:b/>
          <w:lang w:val="en-US"/>
        </w:rPr>
      </w:pPr>
      <w:r w:rsidRPr="003C52D0">
        <w:rPr>
          <w:b/>
          <w:lang w:val="en-US"/>
        </w:rPr>
        <w:t xml:space="preserve">Issue </w:t>
      </w:r>
      <w:r w:rsidR="0090455C">
        <w:rPr>
          <w:b/>
          <w:lang w:val="en-US"/>
        </w:rPr>
        <w:t>1</w:t>
      </w:r>
      <w:r w:rsidRPr="003C52D0">
        <w:rPr>
          <w:b/>
          <w:lang w:val="en-US"/>
        </w:rPr>
        <w:t>-1: Overlap between SMTC and NCSG for measurement without MG</w:t>
      </w:r>
    </w:p>
    <w:p w14:paraId="7486A5AC" w14:textId="77777777" w:rsidR="003C52D0" w:rsidRPr="003C52D0" w:rsidRDefault="003C52D0" w:rsidP="003C52D0">
      <w:pPr>
        <w:pStyle w:val="aff8"/>
        <w:numPr>
          <w:ilvl w:val="0"/>
          <w:numId w:val="2"/>
        </w:numPr>
        <w:overflowPunct/>
        <w:autoSpaceDE/>
        <w:autoSpaceDN/>
        <w:adjustRightInd/>
        <w:spacing w:after="120"/>
        <w:ind w:left="720" w:firstLineChars="0"/>
        <w:textAlignment w:val="auto"/>
        <w:rPr>
          <w:color w:val="0070C0"/>
        </w:rPr>
      </w:pPr>
      <w:r w:rsidRPr="003C52D0">
        <w:rPr>
          <w:color w:val="0070C0"/>
        </w:rPr>
        <w:t xml:space="preserve">Agreement </w:t>
      </w:r>
    </w:p>
    <w:p w14:paraId="33679E0E" w14:textId="228E0923" w:rsidR="003C52D0" w:rsidRDefault="003C52D0" w:rsidP="003C52D0">
      <w:pPr>
        <w:pStyle w:val="aff8"/>
        <w:numPr>
          <w:ilvl w:val="1"/>
          <w:numId w:val="2"/>
        </w:numPr>
        <w:ind w:firstLineChars="0"/>
      </w:pPr>
      <w:r w:rsidRPr="003C52D0">
        <w:t>keep the current assumption of no simultaneous measurement</w:t>
      </w:r>
      <w:r w:rsidR="00D54F3A" w:rsidRPr="00D54F3A">
        <w:t xml:space="preserve"> </w:t>
      </w:r>
      <w:r w:rsidR="00D54F3A" w:rsidRPr="003C52D0">
        <w:t>within NCSG</w:t>
      </w:r>
      <w:r w:rsidRPr="003C52D0">
        <w:t xml:space="preserve"> </w:t>
      </w:r>
      <w:r>
        <w:t xml:space="preserve">(i.e. </w:t>
      </w:r>
      <w:r w:rsidRPr="003C52D0">
        <w:t>measurement without MG performed in NCSG simultaneously with other measurements to be performed with NCSG</w:t>
      </w:r>
      <w:r>
        <w:t xml:space="preserve">) </w:t>
      </w:r>
      <w:r w:rsidRPr="003C52D0">
        <w:t xml:space="preserve">for Rel-17 </w:t>
      </w:r>
    </w:p>
    <w:p w14:paraId="385AE195" w14:textId="50DFD6C3" w:rsidR="003C52D0" w:rsidRPr="003C52D0" w:rsidRDefault="003C52D0" w:rsidP="003C52D0">
      <w:pPr>
        <w:pStyle w:val="aff8"/>
        <w:numPr>
          <w:ilvl w:val="1"/>
          <w:numId w:val="2"/>
        </w:numPr>
        <w:ind w:firstLineChars="0"/>
      </w:pPr>
      <w:r w:rsidRPr="003C52D0">
        <w:t xml:space="preserve">FFS </w:t>
      </w:r>
      <w:r>
        <w:t xml:space="preserve">whether </w:t>
      </w:r>
      <w:r w:rsidRPr="003C52D0">
        <w:t xml:space="preserve">simultaneous measurement </w:t>
      </w:r>
      <w:r w:rsidR="00D54F3A" w:rsidRPr="003C52D0">
        <w:t>within NCSG</w:t>
      </w:r>
      <w:r w:rsidR="00D54F3A">
        <w:t xml:space="preserve"> </w:t>
      </w:r>
      <w:r>
        <w:t xml:space="preserve">(i.e. </w:t>
      </w:r>
      <w:r w:rsidRPr="003C52D0">
        <w:t>measurement without MG performed in NCSG simultaneously with other measurements to be performed with NCSG</w:t>
      </w:r>
      <w:r>
        <w:t xml:space="preserve">) is supported </w:t>
      </w:r>
      <w:r w:rsidRPr="003C52D0">
        <w:t>for Rel-18.</w:t>
      </w:r>
    </w:p>
    <w:p w14:paraId="118CDD7C" w14:textId="12EECA89" w:rsidR="003C52D0" w:rsidRPr="00D54F3A" w:rsidRDefault="003C52D0" w:rsidP="003C52D0">
      <w:pPr>
        <w:rPr>
          <w:b/>
          <w:lang w:val="en-US"/>
        </w:rPr>
      </w:pPr>
      <w:r w:rsidRPr="00D54F3A">
        <w:rPr>
          <w:b/>
          <w:lang w:val="en-US"/>
        </w:rPr>
        <w:t>Issue 1-2: Requirements for inter-frequency measurement without MG</w:t>
      </w:r>
    </w:p>
    <w:p w14:paraId="6419950B" w14:textId="77777777" w:rsidR="003C52D0" w:rsidRPr="003C52D0" w:rsidRDefault="003C52D0" w:rsidP="003C52D0">
      <w:pPr>
        <w:pStyle w:val="aff8"/>
        <w:numPr>
          <w:ilvl w:val="0"/>
          <w:numId w:val="2"/>
        </w:numPr>
        <w:overflowPunct/>
        <w:autoSpaceDE/>
        <w:autoSpaceDN/>
        <w:adjustRightInd/>
        <w:spacing w:after="120"/>
        <w:ind w:left="720" w:firstLineChars="0"/>
        <w:textAlignment w:val="auto"/>
        <w:rPr>
          <w:color w:val="0070C0"/>
        </w:rPr>
      </w:pPr>
      <w:r w:rsidRPr="003C52D0">
        <w:rPr>
          <w:color w:val="0070C0"/>
        </w:rPr>
        <w:t xml:space="preserve">Agreement </w:t>
      </w:r>
    </w:p>
    <w:p w14:paraId="4477AD46" w14:textId="363EE7C2" w:rsidR="003C52D0" w:rsidRPr="003C52D0" w:rsidRDefault="003C52D0" w:rsidP="003C52D0">
      <w:pPr>
        <w:pStyle w:val="aff8"/>
        <w:numPr>
          <w:ilvl w:val="1"/>
          <w:numId w:val="2"/>
        </w:numPr>
        <w:spacing w:after="120"/>
        <w:ind w:firstLineChars="0"/>
      </w:pPr>
      <w:r w:rsidRPr="003C52D0">
        <w:t xml:space="preserve">For inter-frequency without MG (cl. 9.3.9), define separate NW sync assumption and number of samples for </w:t>
      </w:r>
    </w:p>
    <w:p w14:paraId="3E3F2DF2" w14:textId="77777777" w:rsidR="003C52D0" w:rsidRPr="003C52D0" w:rsidRDefault="003C52D0" w:rsidP="003C52D0">
      <w:pPr>
        <w:pStyle w:val="aff8"/>
        <w:numPr>
          <w:ilvl w:val="2"/>
          <w:numId w:val="2"/>
        </w:numPr>
        <w:spacing w:after="120"/>
        <w:ind w:firstLineChars="0"/>
      </w:pPr>
      <w:r w:rsidRPr="003C52D0">
        <w:t xml:space="preserve">Scenario 1, where inter-frequency SSB is within UE active BWP, and </w:t>
      </w:r>
    </w:p>
    <w:p w14:paraId="18D27CC0" w14:textId="77777777" w:rsidR="003C52D0" w:rsidRPr="003C52D0" w:rsidRDefault="003C52D0" w:rsidP="003C52D0">
      <w:pPr>
        <w:pStyle w:val="aff8"/>
        <w:numPr>
          <w:ilvl w:val="2"/>
          <w:numId w:val="2"/>
        </w:numPr>
        <w:overflowPunct/>
        <w:autoSpaceDE/>
        <w:autoSpaceDN/>
        <w:adjustRightInd/>
        <w:spacing w:after="120"/>
        <w:ind w:firstLineChars="0"/>
        <w:textAlignment w:val="auto"/>
      </w:pPr>
      <w:r w:rsidRPr="003C52D0">
        <w:t>Scenario 2, where UE indicates ‘</w:t>
      </w:r>
      <w:proofErr w:type="spellStart"/>
      <w:r w:rsidRPr="003C52D0">
        <w:t>nogap-noncsg</w:t>
      </w:r>
      <w:proofErr w:type="spellEnd"/>
      <w:r w:rsidRPr="003C52D0">
        <w:t>’ for the inter-frequency measurement.</w:t>
      </w:r>
    </w:p>
    <w:p w14:paraId="11C041D2" w14:textId="77777777" w:rsidR="00D54F3A" w:rsidRDefault="00D54F3A" w:rsidP="003C52D0">
      <w:pPr>
        <w:rPr>
          <w:lang w:val="en-US"/>
        </w:rPr>
      </w:pPr>
    </w:p>
    <w:p w14:paraId="18F83D23" w14:textId="76D74DBA" w:rsidR="00D54F3A" w:rsidRPr="00D54F3A" w:rsidRDefault="00D54F3A" w:rsidP="00D54F3A">
      <w:pPr>
        <w:keepNext/>
        <w:keepLines/>
        <w:pBdr>
          <w:top w:val="single" w:sz="12" w:space="3" w:color="auto"/>
        </w:pBdr>
        <w:spacing w:before="240"/>
        <w:ind w:left="432" w:hanging="432"/>
        <w:outlineLvl w:val="0"/>
        <w:rPr>
          <w:rFonts w:ascii="Arial" w:hAnsi="Arial"/>
          <w:sz w:val="28"/>
          <w:szCs w:val="28"/>
          <w:lang w:val="sv-SE"/>
        </w:rPr>
      </w:pPr>
      <w:r w:rsidRPr="00D54F3A">
        <w:rPr>
          <w:rFonts w:ascii="Arial" w:hAnsi="Arial"/>
          <w:sz w:val="28"/>
          <w:szCs w:val="28"/>
          <w:lang w:val="sv-SE"/>
        </w:rPr>
        <w:t>Topic #</w:t>
      </w:r>
      <w:r>
        <w:rPr>
          <w:rFonts w:ascii="Arial" w:hAnsi="Arial"/>
          <w:sz w:val="28"/>
          <w:szCs w:val="28"/>
          <w:lang w:val="sv-SE"/>
        </w:rPr>
        <w:t>2</w:t>
      </w:r>
      <w:r w:rsidRPr="00D54F3A">
        <w:rPr>
          <w:rFonts w:ascii="Arial" w:hAnsi="Arial"/>
          <w:sz w:val="28"/>
          <w:szCs w:val="28"/>
          <w:lang w:val="sv-SE"/>
        </w:rPr>
        <w:t>:</w:t>
      </w:r>
      <w:r>
        <w:rPr>
          <w:rFonts w:ascii="Arial" w:hAnsi="Arial"/>
          <w:sz w:val="28"/>
          <w:szCs w:val="28"/>
          <w:lang w:val="sv-SE"/>
        </w:rPr>
        <w:t xml:space="preserve"> </w:t>
      </w:r>
      <w:r>
        <w:rPr>
          <w:rFonts w:ascii="Arial" w:hAnsi="Arial"/>
          <w:sz w:val="28"/>
          <w:szCs w:val="28"/>
          <w:lang w:val="sv-SE" w:eastAsia="zh-CN"/>
        </w:rPr>
        <w:t>Con-MG</w:t>
      </w:r>
    </w:p>
    <w:p w14:paraId="5E089170" w14:textId="6DDC9287" w:rsidR="003C52D0" w:rsidRPr="00D54F3A" w:rsidRDefault="003C52D0" w:rsidP="003C52D0">
      <w:pPr>
        <w:rPr>
          <w:b/>
          <w:lang w:val="en-US"/>
        </w:rPr>
      </w:pPr>
      <w:r w:rsidRPr="00D54F3A">
        <w:rPr>
          <w:b/>
          <w:lang w:val="en-US"/>
        </w:rPr>
        <w:t>Issue 2-1: MO associated with a MG but measured without MG</w:t>
      </w:r>
    </w:p>
    <w:p w14:paraId="09C05EAA" w14:textId="09AE9FAA" w:rsidR="003C52D0" w:rsidRPr="003C52D0" w:rsidRDefault="00D54F3A" w:rsidP="003C52D0">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p>
    <w:p w14:paraId="33FC6598" w14:textId="77777777" w:rsidR="003C52D0" w:rsidRPr="003C52D0" w:rsidRDefault="003C52D0" w:rsidP="003C52D0">
      <w:pPr>
        <w:pStyle w:val="aff8"/>
        <w:numPr>
          <w:ilvl w:val="1"/>
          <w:numId w:val="2"/>
        </w:numPr>
        <w:spacing w:after="120"/>
        <w:ind w:firstLineChars="0"/>
      </w:pPr>
      <w:r w:rsidRPr="003C52D0">
        <w:t>For an MO that can be measured outside MG and associated with an MG, FFS</w:t>
      </w:r>
    </w:p>
    <w:p w14:paraId="74D236C8" w14:textId="77777777" w:rsidR="003C52D0" w:rsidRPr="003C52D0" w:rsidRDefault="003C52D0" w:rsidP="003C52D0">
      <w:pPr>
        <w:pStyle w:val="aff8"/>
        <w:numPr>
          <w:ilvl w:val="2"/>
          <w:numId w:val="2"/>
        </w:numPr>
        <w:spacing w:after="120"/>
        <w:ind w:firstLineChars="0"/>
      </w:pPr>
      <w:r w:rsidRPr="003C52D0">
        <w:t>Option 1: the MO is always measured within the associated MG</w:t>
      </w:r>
    </w:p>
    <w:p w14:paraId="3F8C8A32" w14:textId="77777777" w:rsidR="003C52D0" w:rsidRPr="003C52D0" w:rsidRDefault="003C52D0" w:rsidP="003C52D0">
      <w:pPr>
        <w:pStyle w:val="aff8"/>
        <w:numPr>
          <w:ilvl w:val="2"/>
          <w:numId w:val="2"/>
        </w:numPr>
        <w:spacing w:after="120"/>
        <w:ind w:firstLineChars="0"/>
      </w:pPr>
      <w:r w:rsidRPr="003C52D0">
        <w:t>Option 2: the MO is measured within the associated MG only when it needs to be measured with MG</w:t>
      </w:r>
    </w:p>
    <w:p w14:paraId="0D9E7D9A" w14:textId="41EE3E0D" w:rsidR="003C52D0" w:rsidRPr="00D16739" w:rsidRDefault="003C52D0" w:rsidP="003C52D0">
      <w:pPr>
        <w:rPr>
          <w:b/>
          <w:lang w:val="en-US"/>
        </w:rPr>
      </w:pPr>
      <w:r w:rsidRPr="00D16739">
        <w:rPr>
          <w:b/>
          <w:lang w:val="en-US"/>
        </w:rPr>
        <w:t>Issue 2-2: MO fully overlapping with the union of the MG1 and MG2</w:t>
      </w:r>
    </w:p>
    <w:p w14:paraId="144543D5" w14:textId="20A78137" w:rsidR="003C52D0" w:rsidRPr="00D54F3A" w:rsidRDefault="00D54F3A" w:rsidP="00D54F3A">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r w:rsidR="003C52D0" w:rsidRPr="00D54F3A">
        <w:rPr>
          <w:color w:val="0070C0"/>
        </w:rPr>
        <w:t xml:space="preserve"> </w:t>
      </w:r>
    </w:p>
    <w:p w14:paraId="4047EF69" w14:textId="77777777" w:rsidR="003C52D0" w:rsidRPr="003C52D0" w:rsidRDefault="003C52D0" w:rsidP="003C52D0">
      <w:pPr>
        <w:pStyle w:val="aff8"/>
        <w:numPr>
          <w:ilvl w:val="1"/>
          <w:numId w:val="2"/>
        </w:numPr>
        <w:spacing w:after="120"/>
        <w:ind w:firstLineChars="0"/>
      </w:pPr>
      <w:r w:rsidRPr="003C52D0">
        <w:t>the MO should be measured within the associated MG in the following cases,</w:t>
      </w:r>
    </w:p>
    <w:p w14:paraId="22B86F5B" w14:textId="77777777" w:rsidR="003C52D0" w:rsidRPr="003C52D0" w:rsidRDefault="003C52D0" w:rsidP="003C52D0">
      <w:pPr>
        <w:pStyle w:val="aff8"/>
        <w:numPr>
          <w:ilvl w:val="2"/>
          <w:numId w:val="2"/>
        </w:numPr>
        <w:spacing w:after="120"/>
        <w:ind w:firstLineChars="0"/>
      </w:pPr>
      <w:r w:rsidRPr="003C52D0">
        <w:t>When a MO is fully overlapping with the associated MG, or</w:t>
      </w:r>
    </w:p>
    <w:p w14:paraId="1894B23B" w14:textId="77777777" w:rsidR="003C52D0" w:rsidRPr="003C52D0" w:rsidRDefault="003C52D0" w:rsidP="003C52D0">
      <w:pPr>
        <w:pStyle w:val="aff8"/>
        <w:numPr>
          <w:ilvl w:val="2"/>
          <w:numId w:val="2"/>
        </w:numPr>
        <w:spacing w:after="120"/>
        <w:ind w:firstLineChars="0"/>
      </w:pPr>
      <w:r w:rsidRPr="003C52D0">
        <w:rPr>
          <w:rFonts w:hint="eastAsia"/>
        </w:rPr>
        <w:t>FFS:</w:t>
      </w:r>
      <w:r w:rsidRPr="003C52D0">
        <w:t xml:space="preserve"> When a MO is partially overlapping with the associated MG and fully overlapping with the union of the </w:t>
      </w:r>
      <w:proofErr w:type="spellStart"/>
      <w:r w:rsidRPr="003C52D0">
        <w:t>ConMGs</w:t>
      </w:r>
      <w:proofErr w:type="spellEnd"/>
      <w:r w:rsidRPr="003C52D0">
        <w:t>.</w:t>
      </w:r>
    </w:p>
    <w:p w14:paraId="1B862F71" w14:textId="77777777" w:rsidR="003C52D0" w:rsidRPr="003C52D0" w:rsidRDefault="003C52D0" w:rsidP="003C52D0">
      <w:pPr>
        <w:pStyle w:val="aff8"/>
        <w:numPr>
          <w:ilvl w:val="1"/>
          <w:numId w:val="2"/>
        </w:numPr>
        <w:spacing w:after="120"/>
        <w:ind w:firstLineChars="0"/>
      </w:pPr>
      <w:r w:rsidRPr="003C52D0">
        <w:rPr>
          <w:rFonts w:hint="eastAsia"/>
        </w:rPr>
        <w:t>W</w:t>
      </w:r>
      <w:r w:rsidRPr="003C52D0">
        <w:t>hether to clarify this in spec is FFS</w:t>
      </w:r>
    </w:p>
    <w:p w14:paraId="36D12332" w14:textId="08DB49E0" w:rsidR="008216CD" w:rsidRPr="00D16739" w:rsidRDefault="008216CD" w:rsidP="008216CD">
      <w:pPr>
        <w:rPr>
          <w:b/>
          <w:lang w:val="en-US"/>
        </w:rPr>
      </w:pPr>
      <w:r w:rsidRPr="00D16739">
        <w:rPr>
          <w:b/>
          <w:lang w:val="en-US"/>
        </w:rPr>
        <w:t>Issue 2-</w:t>
      </w:r>
      <w:r>
        <w:rPr>
          <w:b/>
          <w:lang w:val="en-US"/>
        </w:rPr>
        <w:t>3</w:t>
      </w:r>
      <w:r w:rsidRPr="00D16739">
        <w:rPr>
          <w:b/>
          <w:lang w:val="en-US"/>
        </w:rPr>
        <w:t xml:space="preserve">: </w:t>
      </w:r>
      <w:r w:rsidRPr="008216CD">
        <w:rPr>
          <w:b/>
          <w:lang w:val="en-US"/>
        </w:rPr>
        <w:t xml:space="preserve">E-UTRAN measurement </w:t>
      </w:r>
      <w:r>
        <w:rPr>
          <w:b/>
          <w:lang w:val="en-US"/>
        </w:rPr>
        <w:t>with con-MGs</w:t>
      </w:r>
    </w:p>
    <w:p w14:paraId="103FFEBF" w14:textId="77777777" w:rsidR="008216CD" w:rsidRPr="00D54F3A" w:rsidRDefault="008216CD" w:rsidP="008216CD">
      <w:pPr>
        <w:pStyle w:val="aff8"/>
        <w:numPr>
          <w:ilvl w:val="0"/>
          <w:numId w:val="2"/>
        </w:numPr>
        <w:overflowPunct/>
        <w:autoSpaceDE/>
        <w:autoSpaceDN/>
        <w:adjustRightInd/>
        <w:spacing w:after="120"/>
        <w:ind w:left="720" w:firstLineChars="0"/>
        <w:textAlignment w:val="auto"/>
        <w:rPr>
          <w:color w:val="0070C0"/>
        </w:rPr>
      </w:pPr>
      <w:proofErr w:type="spellStart"/>
      <w:r w:rsidRPr="00D54F3A">
        <w:rPr>
          <w:rFonts w:hint="eastAsia"/>
          <w:color w:val="0070C0"/>
        </w:rPr>
        <w:t>Wayforward</w:t>
      </w:r>
      <w:proofErr w:type="spellEnd"/>
      <w:r w:rsidRPr="00D54F3A">
        <w:rPr>
          <w:color w:val="0070C0"/>
        </w:rPr>
        <w:t xml:space="preserve"> </w:t>
      </w:r>
    </w:p>
    <w:p w14:paraId="7C62BF48" w14:textId="08BE9090" w:rsidR="008216CD" w:rsidRDefault="008216CD" w:rsidP="008216CD">
      <w:pPr>
        <w:pStyle w:val="aff8"/>
        <w:numPr>
          <w:ilvl w:val="1"/>
          <w:numId w:val="2"/>
        </w:numPr>
        <w:spacing w:after="120"/>
        <w:ind w:firstLineChars="0"/>
      </w:pPr>
      <w:r>
        <w:rPr>
          <w:rFonts w:eastAsiaTheme="minorEastAsia" w:hint="eastAsia"/>
          <w:lang w:eastAsia="zh-CN"/>
        </w:rPr>
        <w:lastRenderedPageBreak/>
        <w:t>F</w:t>
      </w:r>
      <w:r>
        <w:rPr>
          <w:rFonts w:eastAsiaTheme="minorEastAsia"/>
          <w:lang w:eastAsia="zh-CN"/>
        </w:rPr>
        <w:t xml:space="preserve">FS </w:t>
      </w:r>
      <w:r>
        <w:rPr>
          <w:rFonts w:eastAsia="宋体"/>
          <w:szCs w:val="24"/>
          <w:lang w:val="en-US" w:eastAsia="zh-CN"/>
        </w:rPr>
        <w:t>w</w:t>
      </w:r>
      <w:r>
        <w:rPr>
          <w:rFonts w:eastAsia="宋体" w:hint="eastAsia"/>
          <w:szCs w:val="24"/>
          <w:lang w:val="en-US" w:eastAsia="zh-CN"/>
        </w:rPr>
        <w:t>hether all E-UTRAN measurement objects are expected to be associated with a single concurrent gap pattern or not when both E-UTRAN measurement objects and other type of measurements are configured</w:t>
      </w:r>
    </w:p>
    <w:p w14:paraId="48279C1C" w14:textId="7D833AE5" w:rsidR="008216CD" w:rsidRPr="008216CD" w:rsidRDefault="008216CD" w:rsidP="008216CD">
      <w:pPr>
        <w:pStyle w:val="aff8"/>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8216CD">
        <w:rPr>
          <w:rFonts w:hint="eastAsia"/>
          <w:szCs w:val="24"/>
          <w:lang w:eastAsia="zh-CN"/>
        </w:rPr>
        <w:t>Y</w:t>
      </w:r>
      <w:r w:rsidRPr="008216CD">
        <w:rPr>
          <w:szCs w:val="24"/>
          <w:lang w:eastAsia="zh-CN"/>
        </w:rPr>
        <w:t xml:space="preserve">es. </w:t>
      </w:r>
    </w:p>
    <w:p w14:paraId="435D04F7" w14:textId="3D0D8E88" w:rsidR="008216CD" w:rsidRPr="008216CD" w:rsidRDefault="008216CD" w:rsidP="008216CD">
      <w:pPr>
        <w:pStyle w:val="aff8"/>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Pr="008216CD">
        <w:rPr>
          <w:rFonts w:hint="eastAsia"/>
          <w:szCs w:val="24"/>
          <w:lang w:eastAsia="zh-CN"/>
        </w:rPr>
        <w:t>N</w:t>
      </w:r>
      <w:r w:rsidRPr="008216CD">
        <w:rPr>
          <w:szCs w:val="24"/>
          <w:lang w:eastAsia="zh-CN"/>
        </w:rPr>
        <w:t xml:space="preserve">o. </w:t>
      </w:r>
    </w:p>
    <w:p w14:paraId="7051D0F7" w14:textId="6C89F9A1" w:rsidR="008216CD" w:rsidRPr="008216CD" w:rsidRDefault="008216CD" w:rsidP="008216CD">
      <w:pPr>
        <w:pStyle w:val="aff8"/>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sidRPr="008216CD">
        <w:rPr>
          <w:rFonts w:eastAsia="PMingLiU"/>
          <w:szCs w:val="24"/>
          <w:lang w:eastAsia="zh-TW"/>
        </w:rPr>
        <w:t>Up to UE capability</w:t>
      </w:r>
      <w:r>
        <w:rPr>
          <w:rFonts w:eastAsia="PMingLiU"/>
          <w:szCs w:val="24"/>
          <w:lang w:eastAsia="zh-TW"/>
        </w:rPr>
        <w:t xml:space="preserve"> (e.g. </w:t>
      </w:r>
      <w:r w:rsidRPr="008216CD">
        <w:rPr>
          <w:rFonts w:eastAsia="PMingLiU"/>
          <w:szCs w:val="24"/>
          <w:lang w:eastAsia="zh-TW"/>
        </w:rPr>
        <w:t>concurrentMeasGapEUTRA-r17</w:t>
      </w:r>
      <w:r>
        <w:rPr>
          <w:rFonts w:eastAsia="PMingLiU"/>
          <w:szCs w:val="24"/>
          <w:lang w:eastAsia="zh-TW"/>
        </w:rPr>
        <w:t>)</w:t>
      </w:r>
    </w:p>
    <w:p w14:paraId="0DCA8A0C" w14:textId="77777777" w:rsidR="008216CD" w:rsidRDefault="008216CD" w:rsidP="008216CD">
      <w:pPr>
        <w:pStyle w:val="aff8"/>
        <w:numPr>
          <w:ilvl w:val="3"/>
          <w:numId w:val="2"/>
        </w:numPr>
        <w:spacing w:after="120"/>
        <w:ind w:firstLineChars="0"/>
        <w:rPr>
          <w:rFonts w:eastAsia="宋体"/>
          <w:szCs w:val="24"/>
          <w:lang w:eastAsia="zh-CN"/>
        </w:rPr>
      </w:pPr>
      <w:r>
        <w:rPr>
          <w:rFonts w:eastAsia="宋体"/>
          <w:szCs w:val="24"/>
          <w:lang w:eastAsia="zh-CN"/>
        </w:rPr>
        <w:t xml:space="preserve">For UE supporting the capability, different LTE MOs can be associated with multiple </w:t>
      </w:r>
      <w:proofErr w:type="spellStart"/>
      <w:r>
        <w:rPr>
          <w:rFonts w:eastAsia="宋体"/>
          <w:szCs w:val="24"/>
          <w:lang w:eastAsia="zh-CN"/>
        </w:rPr>
        <w:t>MGs.</w:t>
      </w:r>
      <w:proofErr w:type="spellEnd"/>
      <w:r>
        <w:rPr>
          <w:rFonts w:eastAsia="宋体"/>
          <w:szCs w:val="24"/>
          <w:lang w:eastAsia="zh-CN"/>
        </w:rPr>
        <w:t xml:space="preserve"> </w:t>
      </w:r>
    </w:p>
    <w:p w14:paraId="7E87641E" w14:textId="15277E9A" w:rsidR="003C52D0" w:rsidRPr="008216CD" w:rsidRDefault="008216CD" w:rsidP="003C52D0">
      <w:pPr>
        <w:pStyle w:val="aff8"/>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For UE not supporting the capability, all LTE MOs can be associated with only a single MG.</w:t>
      </w:r>
      <w:bookmarkStart w:id="0" w:name="_GoBack"/>
      <w:bookmarkEnd w:id="0"/>
    </w:p>
    <w:sectPr w:rsidR="003C52D0" w:rsidRPr="008216C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6A463" w14:textId="77777777" w:rsidR="006A5419" w:rsidRDefault="006A5419">
      <w:r>
        <w:separator/>
      </w:r>
    </w:p>
  </w:endnote>
  <w:endnote w:type="continuationSeparator" w:id="0">
    <w:p w14:paraId="4B8A2FF8" w14:textId="77777777" w:rsidR="006A5419" w:rsidRDefault="006A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21002A87" w:usb1="090F0000" w:usb2="0000003F" w:usb3="00000000" w:csb0="003F01FF" w:csb1="00000000"/>
  </w:font>
  <w:font w:name="MS Mincho">
    <w:altName w:val="Yu Gothic"/>
    <w:panose1 w:val="02020609040205080304"/>
    <w:charset w:val="80"/>
    <w:family w:val="auto"/>
    <w:pitch w:val="default"/>
    <w:sig w:usb0="00000000" w:usb1="00000000" w:usb2="00000012" w:usb3="00000000" w:csb0="4002009F" w:csb1="DFD70000"/>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default"/>
    <w:sig w:usb0="00000000" w:usb1="00000000"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96BB9" w14:textId="77777777" w:rsidR="006A5419" w:rsidRDefault="006A5419">
      <w:r>
        <w:separator/>
      </w:r>
    </w:p>
  </w:footnote>
  <w:footnote w:type="continuationSeparator" w:id="0">
    <w:p w14:paraId="13B51991" w14:textId="77777777" w:rsidR="006A5419" w:rsidRDefault="006A5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4"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5"/>
  </w:num>
  <w:num w:numId="2">
    <w:abstractNumId w:val="22"/>
  </w:num>
  <w:num w:numId="3">
    <w:abstractNumId w:val="14"/>
  </w:num>
  <w:num w:numId="4">
    <w:abstractNumId w:val="4"/>
  </w:num>
  <w:num w:numId="5">
    <w:abstractNumId w:val="2"/>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7"/>
  </w:num>
  <w:num w:numId="9">
    <w:abstractNumId w:val="18"/>
  </w:num>
  <w:num w:numId="10">
    <w:abstractNumId w:val="20"/>
  </w:num>
  <w:num w:numId="11">
    <w:abstractNumId w:val="9"/>
  </w:num>
  <w:num w:numId="12">
    <w:abstractNumId w:val="11"/>
  </w:num>
  <w:num w:numId="13">
    <w:abstractNumId w:val="3"/>
  </w:num>
  <w:num w:numId="14">
    <w:abstractNumId w:val="16"/>
  </w:num>
  <w:num w:numId="15">
    <w:abstractNumId w:val="16"/>
  </w:num>
  <w:num w:numId="16">
    <w:abstractNumId w:val="19"/>
  </w:num>
  <w:num w:numId="17">
    <w:abstractNumId w:val="0"/>
  </w:num>
  <w:num w:numId="18">
    <w:abstractNumId w:val="8"/>
  </w:num>
  <w:num w:numId="19">
    <w:abstractNumId w:val="7"/>
  </w:num>
  <w:num w:numId="20">
    <w:abstractNumId w:val="6"/>
  </w:num>
  <w:num w:numId="21">
    <w:abstractNumId w:val="12"/>
  </w:num>
  <w:num w:numId="22">
    <w:abstractNumId w:val="15"/>
  </w:num>
  <w:num w:numId="23">
    <w:abstractNumId w:val="10"/>
  </w:num>
  <w:num w:numId="24">
    <w:abstractNumId w:val="24"/>
  </w:num>
  <w:num w:numId="25">
    <w:abstractNumId w:val="13"/>
  </w:num>
  <w:num w:numId="26">
    <w:abstractNumId w:val="21"/>
  </w:num>
  <w:num w:numId="27">
    <w:abstractNumId w:val="5"/>
  </w:num>
  <w:num w:numId="28">
    <w:abstractNumId w:val="1"/>
  </w:num>
  <w:num w:numId="29">
    <w:abstractNumId w:val="23"/>
  </w:num>
  <w:num w:numId="30">
    <w:abstractNumId w:val="14"/>
  </w:num>
  <w:num w:numId="3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6685"/>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7D5E"/>
    <w:rsid w:val="00550DE1"/>
    <w:rsid w:val="00554211"/>
    <w:rsid w:val="005544D9"/>
    <w:rsid w:val="00555E8E"/>
    <w:rsid w:val="00557DF0"/>
    <w:rsid w:val="005601D3"/>
    <w:rsid w:val="005633D4"/>
    <w:rsid w:val="005660A2"/>
    <w:rsid w:val="005670F1"/>
    <w:rsid w:val="00571777"/>
    <w:rsid w:val="00573C7B"/>
    <w:rsid w:val="0057447E"/>
    <w:rsid w:val="00574491"/>
    <w:rsid w:val="005747F3"/>
    <w:rsid w:val="005749F6"/>
    <w:rsid w:val="00575B3A"/>
    <w:rsid w:val="00577DBB"/>
    <w:rsid w:val="00580258"/>
    <w:rsid w:val="00580FF5"/>
    <w:rsid w:val="00582DDF"/>
    <w:rsid w:val="0058519C"/>
    <w:rsid w:val="00586ED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662B"/>
    <w:rsid w:val="00690337"/>
    <w:rsid w:val="00691530"/>
    <w:rsid w:val="00692A68"/>
    <w:rsid w:val="00692E2A"/>
    <w:rsid w:val="00694116"/>
    <w:rsid w:val="006950C0"/>
    <w:rsid w:val="00695D85"/>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C0C"/>
    <w:rsid w:val="006F7E88"/>
    <w:rsid w:val="00700755"/>
    <w:rsid w:val="00701C3C"/>
    <w:rsid w:val="0070222F"/>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4B9E"/>
    <w:rsid w:val="007452B6"/>
    <w:rsid w:val="00745C3E"/>
    <w:rsid w:val="0074632B"/>
    <w:rsid w:val="00750234"/>
    <w:rsid w:val="00750F54"/>
    <w:rsid w:val="007520B4"/>
    <w:rsid w:val="00753DDC"/>
    <w:rsid w:val="00755BE6"/>
    <w:rsid w:val="00756430"/>
    <w:rsid w:val="00760AE2"/>
    <w:rsid w:val="00764645"/>
    <w:rsid w:val="007655D5"/>
    <w:rsid w:val="00766507"/>
    <w:rsid w:val="00767392"/>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9F3"/>
    <w:rsid w:val="00806F77"/>
    <w:rsid w:val="00810014"/>
    <w:rsid w:val="008114DD"/>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07A"/>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5CC2"/>
    <w:rsid w:val="008D6657"/>
    <w:rsid w:val="008E03F4"/>
    <w:rsid w:val="008E0ED7"/>
    <w:rsid w:val="008E1F60"/>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797C"/>
    <w:rsid w:val="00AC01DB"/>
    <w:rsid w:val="00AC27DB"/>
    <w:rsid w:val="00AC352E"/>
    <w:rsid w:val="00AC4B4D"/>
    <w:rsid w:val="00AC6D6B"/>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177"/>
    <w:rsid w:val="00BF14CB"/>
    <w:rsid w:val="00BF1513"/>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4E58"/>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5E06"/>
    <w:rsid w:val="00CF635D"/>
    <w:rsid w:val="00D0036C"/>
    <w:rsid w:val="00D03D00"/>
    <w:rsid w:val="00D055D4"/>
    <w:rsid w:val="00D05C30"/>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34A6"/>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7691"/>
    <w:rsid w:val="00EE1080"/>
    <w:rsid w:val="00EE13BE"/>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E1E1F"/>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1DA23-FEF9-491C-8269-84477E3F05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2</Pages>
  <Words>337</Words>
  <Characters>1923</Characters>
  <Application>Microsoft Office Word</Application>
  <DocSecurity>0</DocSecurity>
  <Lines>16</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7</cp:revision>
  <cp:lastPrinted>2019-04-25T01:09:00Z</cp:lastPrinted>
  <dcterms:created xsi:type="dcterms:W3CDTF">2023-03-02T17:41:00Z</dcterms:created>
  <dcterms:modified xsi:type="dcterms:W3CDTF">2023-03-03T07:57:00Z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(3)deku5qbLOwfIBL8jXcuWfc7FQpyFl325PIpx4DZjCkvUbJYyZk7HwDagcLBDeOPi+2qCDFhV
5gcwrH3Rm2Z057dug8+5yFj5HZ/epSPSByD1DNYsuYyhGoEVYvXHr8BcRzVD6UeYmb+FQQEm
E1MT+0zExzG9ZMVHreX0+UoIdaeKdtEOmmW6ScRuU9LfQ3IJV7N/rWdhzYbf0thlt7PVHTJb
8wENLe5EUtunYNRF3y</vt:lpwstr>
  </property>
  <property fmtid="{D5CDD505-2E9C-101B-9397-08002B2CF9AE}" pid="10" name="_2015_ms_pID_7253431">
    <vt:lpwstr>23XfNzQUUrJKkOn1qUPZYBQvcTSa5awLWAFjX8ZQY3RR8055448+44
36VO/61uCnH7ATetd6+OftJjZT+EFuZ3jIA/g+QXf47MEtCFldU7ww0bp34MR4geSexbi67R
PpZHQTxInHWtH9bkFr4sUKxojsXeq1P2ADKo5CxOroiRNxkyvrIgi+VUnVPEtEUQ2IeEDze8
dQiXH4Kkhr1Q588R2FgjXhXfIsGbSwCcRCBA</vt:lpwstr>
  </property>
  <property fmtid="{D5CDD505-2E9C-101B-9397-08002B2CF9AE}" pid="11" name="_2015_ms_pID_7253432">
    <vt:lpwstr>Yw==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ies>
</file>